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ПРАВИТЕЛЬСТВО РОССИЙСКОЙ ФЕДЕРАЦИИ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ПОСТАНОВЛЕНИЕ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 13 марта 2015 г. N 219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 ВНЕСЕНИИ ИЗМЕНЕНИЙ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ПРАВИЛА ТЕХНОЛОГИЧЕСКОГО ПРИСОЕДИНЕНИЯ ЭНЕРГОПРИНИМАЮЩИХ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УСТРОЙСТВ ПОТРЕБИТЕЛЕЙ ЭЛЕКТРИЧЕСКОЙ ЭНЕРГИИ, ОБЪЕКТОВ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 ПРОИЗВОДСТВУ ЭЛЕКТРИЧЕСКОЙ ЭНЕРГИИ, А ТАКЖЕ ОБЪЕКТОВ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ЭЛЕКТРОСЕТЕВОГО ХОЗЯЙСТВА, ПРИНАДЛЕЖАЩИХ СЕТЕВЫМ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ОРГАНИЗАЦИЯМ И ИНЫМ ЛИЦАМ, К ЭЛЕКТРИЧЕСКИМ СЕТЯМ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Правительство Российской Федерации постановляет: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Утвердить прилагаемые </w:t>
      </w:r>
      <w:hyperlink w:anchor="gjdgxs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изменения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которые вносятся в </w:t>
      </w:r>
      <w:hyperlink r:id="rId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Правила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 декабря 2004 г. N 861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(Собрание законодательства Российской Федерации, 2004, N 52, ст. 5525; 2007, N 14, ст. 1687; 2009, N 17, ст. 2088; 2010, N 40, ст. 5086; 2013, N 33, ст. 4392; N 42, ст. 5373).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Председатель Правительства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Российской Федерации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Д.МЕДВЕДЕВ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Утверждены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постановлением Правительства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Российской Федерации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 13 марта 2015 г. N 219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gjdgxs" w:id="0"/>
    <w:bookmarkEnd w:id="0"/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ИЗМЕНЕНИЯ,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КОТОРЫЕ ВНОСЯТСЯ В ПРАВИЛА ТЕХНОЛОГИЧЕСКОГО ПРИСОЕДИНЕНИЯ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ЭНЕРГОПРИНИМАЮЩИХ УСТРОЙСТВ ПОТРЕБИТЕЛЕЙ ЭЛЕКТРИЧЕСКОЙ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ЭНЕРГИИ, ОБЪЕКТОВ ПО ПРОИЗВОДСТВУ ЭЛЕКТРИЧЕСКОЙ ЭНЕРГИИ,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 ТАКЖЕ ОБЪЕКТОВ ЭЛЕКТРОСЕТЕВОГО ХОЗЯЙСТВА, ПРИНАДЛЕЖАЩИХ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СЕТЕВЫМ ОРГАНИЗАЦИЯМ И ИНЫМ ЛИЦАМ, К ЭЛЕКТРИЧЕСКИМ СЕТЯМ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Дополнить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пунктом 2(2) следующего содержания: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"2(2). Действие настоящих Правил распространяется на случаи присоединения впервые вводимых в эксплуатацию, ранее присоединенных энергопринимающих устройств и объектов электроэнергетики, принадлежащих садоводческому, огородническому или дачному некоммерческому объединению либо его членам, а также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садоводческого, огороднического или дачного некоммерческого объединения, максимальная мощность которых изменяется.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Технологическое присоединение энергопринимающих устройств, принадлежащих членам садоводческого, огороднического или дачного некоммерческого объединения, осуществляется с использованием объектов инфраструктуры и другого имущества общего пользования этого садоводческого, огороднического или дачного некоммерческого объединения.".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Дополнить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пунктом 8(5) следующего содержания: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"8(5). В случае технологического присоединения энергопринимающих устройств, принадлежащих садоводческому, огородническому или дачному некоммерческому объединению либо его членам, заявка на технологическое присоединение этих энергопринимающих устройств подается в сетевую организацию указанным некоммерческим объединением либо его представителем. В случае технологического присоединения энергопринимающих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садоводческого, огороднического или дачного некоммерческого объединения, заявка на технологическое присоединение этих энергопринимающих устройств подается в сетевую организацию непосредственно гражданами, ведущими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или иными лицами.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Технологическое присоединение энергопринимающих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садоводческого, огороднического или дачного некоммерческого объединения, осуществляется к сетям сетевой организации непосредственно или с использованием объектов инфраструктуры и другого имущества общего пользования этого объединения.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В случае если технологическое присоединение энергопринимающих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осуществляется с использованием объектов инфраструктуры и другого имущества общего пользования этого объединения, указанные граждане заключают с этим объединением договор использования объектов инфраструктуры и другого имущества общего пользования в соответствии с Федеральным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highlight w:val="yellow"/>
            <w:u w:val="none"/>
            <w:vertAlign w:val="baseline"/>
            <w:rtl w:val="0"/>
          </w:rPr>
          <w:t xml:space="preserve">законом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 "О садоводческих, огороднических и дачных некоммерческих объединениях граждан".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При этом садоводческое, огородническое или дачное некоммерческое объединение не вправе препятствовать сетевой организации в осуществлении технологического присоединения энергопринимающих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этого объединения.".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Пункт 10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дополнить подпунктом "з" следующего содержания: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"з) в случае технологического присоединения энергопринимающих устройств, указанных в абзаце третьем пункта 8(5) настоящих Правил, - копия договора об использовании объектов инфраструктуры и другого имущества общего пользования.".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1">
        <w:r w:rsidDel="00000000" w:rsidR="00000000" w:rsidRPr="00000000">
          <w:rPr>
            <w:rFonts w:ascii="Calibri" w:cs="Calibri" w:eastAsia="Calibri" w:hAnsi="Calibri"/>
            <w:b w:val="0"/>
            <w:i w:val="1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br w:type="textWrapping"/>
          <w:t xml:space="preserve">Постановление Правительства РФ от 13.03.2015 N 219 "О внесении изменений в 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{КонсультантПлюс}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sectPr>
      <w:pgSz w:h="16838" w:w="11906"/>
      <w:pgMar w:bottom="1077" w:top="568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